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835" w:rsidRDefault="00C16835" w:rsidP="00C16835">
      <w:pPr>
        <w:keepNext/>
        <w:spacing w:after="0" w:line="240" w:lineRule="auto"/>
        <w:jc w:val="center"/>
        <w:outlineLvl w:val="0"/>
        <w:rPr>
          <w:rFonts w:ascii="Arial" w:eastAsia="Times New Roman" w:hAnsi="Arial" w:cs="Arial"/>
          <w:b/>
          <w:bCs/>
          <w:kern w:val="32"/>
          <w:sz w:val="32"/>
          <w:szCs w:val="32"/>
          <w:lang w:eastAsia="it-IT"/>
        </w:rPr>
      </w:pPr>
      <w:bookmarkStart w:id="0" w:name="_Toc291563300"/>
      <w:bookmarkStart w:id="1" w:name="_Toc291087756"/>
      <w:r>
        <w:rPr>
          <w:rFonts w:ascii="Arial" w:eastAsia="Times New Roman" w:hAnsi="Arial" w:cs="Arial"/>
          <w:b/>
          <w:bCs/>
          <w:kern w:val="32"/>
          <w:sz w:val="32"/>
          <w:szCs w:val="32"/>
          <w:lang w:eastAsia="it-IT"/>
        </w:rPr>
        <w:t>LITANIE LAURETANE</w:t>
      </w:r>
      <w:bookmarkEnd w:id="0"/>
      <w:bookmarkEnd w:id="1"/>
    </w:p>
    <w:p w:rsidR="00203F8F" w:rsidRPr="00FF0ACC" w:rsidRDefault="00203F8F" w:rsidP="00203F8F">
      <w:pPr>
        <w:pStyle w:val="Titolo2"/>
        <w:spacing w:before="0" w:after="120"/>
        <w:jc w:val="center"/>
        <w:rPr>
          <w:i w:val="0"/>
          <w:iCs w:val="0"/>
          <w:sz w:val="24"/>
          <w:szCs w:val="22"/>
        </w:rPr>
      </w:pPr>
      <w:bookmarkStart w:id="2" w:name="_Toc291431770"/>
      <w:bookmarkStart w:id="3" w:name="_Toc291563341"/>
      <w:r w:rsidRPr="00FF0ACC">
        <w:rPr>
          <w:i w:val="0"/>
          <w:iCs w:val="0"/>
          <w:sz w:val="24"/>
        </w:rPr>
        <w:t xml:space="preserve">Tabernacolo dell'eterna gloria </w:t>
      </w:r>
      <w:r>
        <w:rPr>
          <w:i w:val="0"/>
          <w:iCs w:val="0"/>
          <w:sz w:val="24"/>
        </w:rPr>
        <w:t>(</w:t>
      </w:r>
      <w:r w:rsidRPr="00FF0ACC">
        <w:rPr>
          <w:i w:val="0"/>
          <w:iCs w:val="0"/>
          <w:sz w:val="24"/>
          <w:szCs w:val="22"/>
        </w:rPr>
        <w:t xml:space="preserve">Vas </w:t>
      </w:r>
      <w:r>
        <w:rPr>
          <w:i w:val="0"/>
          <w:iCs w:val="0"/>
          <w:sz w:val="24"/>
          <w:szCs w:val="22"/>
        </w:rPr>
        <w:t>onorabile)</w:t>
      </w:r>
      <w:bookmarkEnd w:id="2"/>
      <w:bookmarkEnd w:id="3"/>
      <w:r w:rsidRPr="00FF0ACC">
        <w:rPr>
          <w:i w:val="0"/>
          <w:iCs w:val="0"/>
          <w:sz w:val="24"/>
          <w:szCs w:val="22"/>
        </w:rPr>
        <w:t xml:space="preserve"> </w:t>
      </w:r>
    </w:p>
    <w:p w:rsidR="00203F8F" w:rsidRPr="00203F8F" w:rsidRDefault="00203F8F" w:rsidP="00203F8F">
      <w:pPr>
        <w:pStyle w:val="Testonormale"/>
        <w:spacing w:after="120"/>
        <w:jc w:val="both"/>
        <w:rPr>
          <w:rFonts w:ascii="Arial" w:hAnsi="Arial" w:cs="Arial"/>
          <w:sz w:val="24"/>
          <w:szCs w:val="24"/>
        </w:rPr>
      </w:pPr>
      <w:r w:rsidRPr="00203F8F">
        <w:rPr>
          <w:rFonts w:ascii="Arial" w:hAnsi="Arial" w:cs="Arial"/>
          <w:sz w:val="24"/>
          <w:szCs w:val="24"/>
        </w:rPr>
        <w:t>Il Tabernacolo, o Tenda del convegno, era il luogo nel quale scendeva il Signore con la sua nube. Scendeva, vi rimaneva, parlava a Mosè dal propiziatorio che era il coperchio dell’arca dell’alleanza. Così il Signore manifesta al suo popolo la sua gloria, che è trascendenza, infinita santità, verità eterna, amore per il suo popolo. Il Tabernacolo era la cosa più preziosa esistente presso il popolo dei figli di Israele.</w:t>
      </w:r>
    </w:p>
    <w:p w:rsidR="00203F8F" w:rsidRPr="00203F8F" w:rsidRDefault="00203F8F" w:rsidP="00203F8F">
      <w:pPr>
        <w:pStyle w:val="Testonormale"/>
        <w:spacing w:after="120"/>
        <w:jc w:val="both"/>
        <w:rPr>
          <w:rFonts w:ascii="Arial" w:hAnsi="Arial"/>
          <w:i/>
          <w:iCs/>
          <w:color w:val="000000"/>
          <w:sz w:val="24"/>
          <w:szCs w:val="24"/>
        </w:rPr>
      </w:pPr>
      <w:r w:rsidRPr="00203F8F">
        <w:rPr>
          <w:rFonts w:ascii="Arial" w:hAnsi="Arial"/>
          <w:i/>
          <w:iCs/>
          <w:color w:val="000000"/>
          <w:sz w:val="24"/>
          <w:szCs w:val="24"/>
        </w:rPr>
        <w:t xml:space="preserve">“Quanto alla Dimora, la farai con dieci teli di bisso ritorto, di porpora viola, di porpora rossa e di scarlatto. Vi farai figure di cherubini, lavoro d’artista. La lunghezza di un telo sarà di ventotto cubiti; la larghezza di quattro cubiti per un telo; la stessa dimensione per tutti i teli. Cinque teli saranno uniti l’uno all’altro e anche gli altri cinque saranno uniti l’uno all’altro. Farai cordoni di porpora viola sull’orlo del primo telo all’estremità della sutura; così farai sull’orlo del telo estremo nella seconda sutura. Farai cinquanta cordoni al primo telo e farai cinquanta cordoni all’estremità della seconda sutura: i cordoni corrisponderanno l’uno all’altro. Farai cinquanta fibbie d’oro e unirai i teli l’uno all’altro mediante le fibbie, così la Dimora formerà un tutto unico. Farai poi teli di pelo di capra per la tenda sopra la Dimora. Ne farai undici teli. La lunghezza di un telo sarà di trenta cubiti; la larghezza di quattro cubiti per un telo; la stessa dimensione per gli undici teli. Unirai insieme cinque teli da una parte e sei teli dall’altra. Piegherai in due il sesto telo sulla parte anteriore della tenda. Farai cinquanta cordoni sull’orlo del primo telo, che è all’estremità della sutura, e cinquanta cordoni sull’orlo del telo della seconda sutura. Farai cinquanta fibbie di bronzo, introdurrai le fibbie nei cordoni e unirai insieme la tenda; così essa formerà un tutto unico. La parte che pende in eccedenza nei teli della tenda, la metà cioè di un telo che sopravanza, penderà sulla parte posteriore della Dimora. Il cubito in eccedenza da una parte, come il cubito in eccedenza dall’altra parte, nel senso della lunghezza dei teli della tenda, ricadranno sui due lati della Dimora, per coprirla da una parte e dall’altra. Farai per la tenda una copertura di pelli di montone tinte di rosso e al di sopra una copertura di pelli di tasso” (Es 26,1-14). </w:t>
      </w:r>
    </w:p>
    <w:p w:rsidR="00203F8F" w:rsidRPr="00203F8F" w:rsidRDefault="00203F8F" w:rsidP="00203F8F">
      <w:pPr>
        <w:pStyle w:val="Testonormale"/>
        <w:spacing w:after="120"/>
        <w:jc w:val="both"/>
        <w:rPr>
          <w:rFonts w:ascii="Arial" w:hAnsi="Arial"/>
          <w:sz w:val="24"/>
          <w:szCs w:val="24"/>
        </w:rPr>
      </w:pPr>
      <w:r w:rsidRPr="00203F8F">
        <w:rPr>
          <w:rFonts w:ascii="Arial" w:hAnsi="Arial" w:cs="Arial"/>
          <w:sz w:val="24"/>
          <w:szCs w:val="24"/>
        </w:rPr>
        <w:t xml:space="preserve">Al momento della consacrazione, Dio scende con la sua nube e manifesta la grandezza della sua eterna gloria: </w:t>
      </w:r>
      <w:r w:rsidRPr="00203F8F">
        <w:rPr>
          <w:rFonts w:ascii="Arial" w:hAnsi="Arial" w:cs="Arial"/>
          <w:i/>
          <w:sz w:val="24"/>
          <w:szCs w:val="24"/>
        </w:rPr>
        <w:t>“</w:t>
      </w:r>
      <w:r w:rsidRPr="00203F8F">
        <w:rPr>
          <w:rFonts w:ascii="Arial" w:hAnsi="Arial"/>
          <w:i/>
          <w:sz w:val="24"/>
          <w:szCs w:val="24"/>
        </w:rPr>
        <w:t>Infine eresse il recinto intorno alla Dimora e all’altare e mise la cortina alla porta del recinto. Così Mosè terminò l’opera. Allora la nube coprì la tenda del convegno e la gloria del Signore riempì la Dimora. Mosè non poté entrare nella tenda del convegno, perché la nube sostava su di essa e la gloria del Signore riempiva la Dimora. Per tutto il tempo del loro viaggio, quando la nube s’innalzava e lasciava la Dimora, gli Israeliti levavano le tende. Se la nube non si innalzava, essi non partivano, finché non si fosse innalzata. Perché la nube del Signore, durante il giorno, rimaneva sulla Dimora e, durante la notte, vi era in essa un fuoco, visibile a tutta la casa d’Israele, per tutto il tempo del loro viaggio”</w:t>
      </w:r>
      <w:r w:rsidRPr="00203F8F">
        <w:rPr>
          <w:rFonts w:ascii="Arial" w:hAnsi="Arial"/>
          <w:sz w:val="24"/>
          <w:szCs w:val="24"/>
        </w:rPr>
        <w:t xml:space="preserve"> (Es 40,33-38). </w:t>
      </w:r>
    </w:p>
    <w:p w:rsidR="00203F8F" w:rsidRPr="00203F8F" w:rsidRDefault="00203F8F" w:rsidP="00203F8F">
      <w:pPr>
        <w:pStyle w:val="Testonormale"/>
        <w:spacing w:after="120"/>
        <w:jc w:val="both"/>
        <w:rPr>
          <w:rFonts w:ascii="Arial" w:hAnsi="Arial"/>
          <w:sz w:val="24"/>
          <w:szCs w:val="24"/>
        </w:rPr>
      </w:pPr>
      <w:r w:rsidRPr="00203F8F">
        <w:rPr>
          <w:rFonts w:ascii="Arial" w:hAnsi="Arial" w:cs="Arial"/>
          <w:sz w:val="24"/>
          <w:szCs w:val="24"/>
        </w:rPr>
        <w:t xml:space="preserve">La Vergine Mara è invocata quale </w:t>
      </w:r>
      <w:r w:rsidRPr="00203F8F">
        <w:rPr>
          <w:rFonts w:ascii="Arial" w:hAnsi="Arial" w:cs="Arial"/>
          <w:i/>
          <w:sz w:val="24"/>
          <w:szCs w:val="24"/>
        </w:rPr>
        <w:t>“Tabernacolo dell’eterna gloria”</w:t>
      </w:r>
      <w:r w:rsidRPr="00203F8F">
        <w:rPr>
          <w:rFonts w:ascii="Arial" w:hAnsi="Arial" w:cs="Arial"/>
          <w:sz w:val="24"/>
          <w:szCs w:val="24"/>
        </w:rPr>
        <w:t xml:space="preserve">. È Tabernacolo perché il Signore ha deciso di abitare in Lei in modo infinitamente più eccelso, più nobile, più santo, più vero che in ogni altra abitazione sulla terra. Solo Cristo Gesù è divinamente e personalmente oltre, perché Lui stesso è Dio e la </w:t>
      </w:r>
      <w:r w:rsidRPr="00203F8F">
        <w:rPr>
          <w:rFonts w:ascii="Arial" w:hAnsi="Arial" w:cs="Arial"/>
          <w:i/>
          <w:sz w:val="24"/>
          <w:szCs w:val="24"/>
        </w:rPr>
        <w:t>“carne”</w:t>
      </w:r>
      <w:r w:rsidRPr="00203F8F">
        <w:rPr>
          <w:rFonts w:ascii="Arial" w:hAnsi="Arial" w:cs="Arial"/>
          <w:sz w:val="24"/>
          <w:szCs w:val="24"/>
        </w:rPr>
        <w:t xml:space="preserve"> è assunta dalla Persona del Verbo e fatta sua propria carne, in una unità mirabile che il dogma della Chiesa ha definito come </w:t>
      </w:r>
      <w:r w:rsidRPr="00203F8F">
        <w:rPr>
          <w:rFonts w:ascii="Arial" w:hAnsi="Arial" w:cs="Arial"/>
          <w:i/>
          <w:sz w:val="24"/>
          <w:szCs w:val="24"/>
        </w:rPr>
        <w:t>“unione ipostatica”</w:t>
      </w:r>
      <w:r w:rsidRPr="00203F8F">
        <w:rPr>
          <w:rFonts w:ascii="Arial" w:hAnsi="Arial" w:cs="Arial"/>
          <w:sz w:val="24"/>
          <w:szCs w:val="24"/>
        </w:rPr>
        <w:t xml:space="preserve">. Non solo in Maria Dio è sceso </w:t>
      </w:r>
      <w:proofErr w:type="gramStart"/>
      <w:r w:rsidRPr="00203F8F">
        <w:rPr>
          <w:rFonts w:ascii="Arial" w:hAnsi="Arial" w:cs="Arial"/>
          <w:sz w:val="24"/>
          <w:szCs w:val="24"/>
        </w:rPr>
        <w:t>e</w:t>
      </w:r>
      <w:proofErr w:type="gramEnd"/>
      <w:r w:rsidRPr="00203F8F">
        <w:rPr>
          <w:rFonts w:ascii="Arial" w:hAnsi="Arial" w:cs="Arial"/>
          <w:sz w:val="24"/>
          <w:szCs w:val="24"/>
        </w:rPr>
        <w:t xml:space="preserve"> in Lei abita con la sua presenza altissima di grazia e di verità, di santità e amore, di carità e misericordia, di compassione e di pace. In Lei Dio ha rivelato tutta la grandezza, forza, potenza, la maestosità della sua gloria. Non solo non ha permesso che il peccato originale la sfiorasse neanche per un istante infinitesimale, ha anche fatto sì che Ella si rivestisse di grazia e di santità più che tutte le creature dell’universo messe insieme. L’opera di Dio in Lei è stata oltremodo </w:t>
      </w:r>
      <w:r w:rsidRPr="00203F8F">
        <w:rPr>
          <w:rFonts w:ascii="Arial" w:hAnsi="Arial" w:cs="Arial"/>
          <w:i/>
          <w:sz w:val="24"/>
          <w:szCs w:val="24"/>
        </w:rPr>
        <w:t xml:space="preserve">“superba”, </w:t>
      </w:r>
      <w:r w:rsidRPr="00203F8F">
        <w:rPr>
          <w:rFonts w:ascii="Arial" w:hAnsi="Arial"/>
          <w:sz w:val="24"/>
          <w:szCs w:val="24"/>
        </w:rPr>
        <w:t xml:space="preserve">grande, grandissima, superlativa, al sommo delle divine possibilità. Oltre Maria è impossibile allo stesso Dio creare una Donna così santa, eccelsa, elevata in perfezioni spirituali. In Maria Dio ha manifestato tutta la sua gloria, la sua potenza, la sua forza di santità, sapienza, scienza, intelligenza, tutto </w:t>
      </w:r>
      <w:proofErr w:type="gramStart"/>
      <w:r w:rsidRPr="00203F8F">
        <w:rPr>
          <w:rFonts w:ascii="Arial" w:hAnsi="Arial"/>
          <w:sz w:val="24"/>
          <w:szCs w:val="24"/>
        </w:rPr>
        <w:t>se</w:t>
      </w:r>
      <w:proofErr w:type="gramEnd"/>
      <w:r w:rsidRPr="00203F8F">
        <w:rPr>
          <w:rFonts w:ascii="Arial" w:hAnsi="Arial"/>
          <w:sz w:val="24"/>
          <w:szCs w:val="24"/>
        </w:rPr>
        <w:t xml:space="preserve"> stesso. </w:t>
      </w:r>
    </w:p>
    <w:p w:rsidR="00203F8F" w:rsidRDefault="00203F8F" w:rsidP="00203F8F">
      <w:pPr>
        <w:pStyle w:val="Testonormale"/>
        <w:spacing w:after="120"/>
        <w:jc w:val="both"/>
        <w:rPr>
          <w:rFonts w:ascii="Arial" w:hAnsi="Arial" w:cs="Arial"/>
          <w:b/>
          <w:bCs/>
          <w:kern w:val="32"/>
          <w:sz w:val="32"/>
          <w:szCs w:val="32"/>
        </w:rPr>
      </w:pPr>
      <w:r w:rsidRPr="00203F8F">
        <w:rPr>
          <w:rFonts w:ascii="Arial" w:hAnsi="Arial"/>
          <w:sz w:val="24"/>
          <w:szCs w:val="24"/>
        </w:rPr>
        <w:t>Vergine Maria,</w:t>
      </w:r>
      <w:bookmarkStart w:id="4" w:name="_GoBack"/>
      <w:bookmarkEnd w:id="4"/>
      <w:r w:rsidRPr="00203F8F">
        <w:rPr>
          <w:rFonts w:ascii="Arial" w:hAnsi="Arial"/>
          <w:sz w:val="24"/>
          <w:szCs w:val="24"/>
        </w:rPr>
        <w:t xml:space="preserve"> Angeli e Santi, aiutateci.</w:t>
      </w:r>
    </w:p>
    <w:p w:rsidR="00AF0EA4" w:rsidRDefault="00AF0EA4"/>
    <w:sectPr w:rsidR="00AF0EA4" w:rsidSect="00C1683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35"/>
    <w:rsid w:val="0009680E"/>
    <w:rsid w:val="00203F8F"/>
    <w:rsid w:val="00AF0EA4"/>
    <w:rsid w:val="00C168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AE86"/>
  <w15:chartTrackingRefBased/>
  <w15:docId w15:val="{EC6C781E-CD77-4B37-9135-C4AACE70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6835"/>
    <w:pPr>
      <w:spacing w:line="256" w:lineRule="auto"/>
    </w:pPr>
  </w:style>
  <w:style w:type="paragraph" w:styleId="Titolo2">
    <w:name w:val="heading 2"/>
    <w:basedOn w:val="Normale"/>
    <w:next w:val="Normale"/>
    <w:link w:val="Titolo2Carattere"/>
    <w:qFormat/>
    <w:rsid w:val="00203F8F"/>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03F8F"/>
    <w:rPr>
      <w:rFonts w:ascii="Arial" w:eastAsia="Times New Roman" w:hAnsi="Arial" w:cs="Arial"/>
      <w:b/>
      <w:bCs/>
      <w:i/>
      <w:iCs/>
      <w:sz w:val="28"/>
      <w:szCs w:val="28"/>
      <w:lang w:eastAsia="it-IT"/>
    </w:rPr>
  </w:style>
  <w:style w:type="paragraph" w:styleId="Testonormale">
    <w:name w:val="Plain Text"/>
    <w:basedOn w:val="Normale"/>
    <w:link w:val="TestonormaleCarattere"/>
    <w:rsid w:val="00203F8F"/>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203F8F"/>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688</Words>
  <Characters>3923</Characters>
  <Application>Microsoft Office Word</Application>
  <DocSecurity>0</DocSecurity>
  <Lines>32</Lines>
  <Paragraphs>9</Paragraphs>
  <ScaleCrop>false</ScaleCrop>
  <Company>HP</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2019-09-28T19:28:00Z</dcterms:created>
  <dcterms:modified xsi:type="dcterms:W3CDTF">2019-10-05T22:08:00Z</dcterms:modified>
</cp:coreProperties>
</file>